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Times New Roman" w:hAnsi="Times New Roman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关于金融赋能新质生产力发展的若干政策措施</w:t>
      </w:r>
    </w:p>
    <w:p>
      <w:pPr>
        <w:spacing w:line="560" w:lineRule="exact"/>
        <w:jc w:val="center"/>
        <w:rPr>
          <w:rFonts w:ascii="Times New Roman" w:hAnsi="Times New Roman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楷体_GBK" w:cs="方正楷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征求意见</w:t>
      </w:r>
      <w:r>
        <w:rPr>
          <w:rFonts w:hint="eastAsia" w:ascii="Times New Roman" w:hAnsi="Times New Roman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稿）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为深入贯彻党中央、国务院和省委、省政府关于金融工作的决策部署，以高质量金融赋能无锡新质生产力发展，支撑“465+X”现代产业集群建设，结合我市实际，制定本政策措施。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一、总体要求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力争到2030年，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与新质生产力发展相适应的现代金融服务体系基本完备，将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无锡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打造成为金融赋能新质生产力发展标杆区，全市本外币各项贷款年均增速不低于8%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科技保险保障金额达11000亿元，上市公司总量和增量位居全省前二，股权投资基金规模新增超2000亿元，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并购重组交易规模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新增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超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亿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tabs>
          <w:tab w:val="left" w:pos="55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二、重点工作</w:t>
      </w:r>
      <w:r>
        <w:rPr>
          <w:rFonts w:hint="eastAsia" w:ascii="Times New Roman" w:hAnsi="Times New Roman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1.加大银行信贷支持力度。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支持银行机构对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科技型企业信贷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单列计划，配置专项额度，加强科技信贷产品研发，针对重点产业类别定制差异化金融服务方案，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持续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推广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联合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授信、随借随还、无还本续贷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模式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，适当提高贷款不良容忍度，科技型小微企业贷款不良率可较各项贷款不良率提高不超过3个百分点。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力争未来5年，全市科技贷款余额占比达23%。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2.发挥科技保险保障作用。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加强科技保险创新激励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支持保险机构开展全国全省首创险种、首创产品模式，对保险机构开发科技保险新险种并产生保费的，依规给予最高50万元奖励。探索运用共保体、再保险等方式，为重大技术攻关、概念验证和中试项目等提供风险保障。研究设立专项科技保险基金，加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强科技型企业保险服务保障，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引导投保科技综合保险。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3.引导基金有效赋能</w:t>
      </w:r>
      <w:r>
        <w:rPr>
          <w:rFonts w:hint="eastAsia" w:ascii="Times New Roman" w:hAnsi="Times New Roman" w:eastAsia="方正楷体_GBK" w:cs="方正楷体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丰富股权投资基金矩阵，拓宽资本来源渠道，加强与各类长期资本、耐心资本合作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深化</w:t>
      </w:r>
      <w:r>
        <w:rPr>
          <w:rFonts w:ascii="Times New Roman" w:hAnsi="Times New Roman" w:eastAsia="方正仿宋_GBK" w:cs="方正仿宋_GBK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合格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境外有限合伙人（QFLP）试点，加快发展并购基金和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私募股权二级市场基金（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S基金），推动同质、低效国资基金整合重组，引导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投早、投小、投长期和投硬科技，对股权投资机构管理的基金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投资本市种子期、初创期科技企业满一年的，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按实际货币投资额给予最高10%的奖励，单个项目最高100万元、单个机构每年最高500万元，在计算奖励金额时扣除国有资本出资额。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力争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未来5年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，城市股权投资活跃度保持全国前十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QFLP基金累计规模超60亿美元、保持全省首位。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4.培育企业挂牌上市。</w:t>
      </w:r>
      <w:bookmarkStart w:id="0" w:name="OLE_LINK1"/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有序推进企业早期规范股改，对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经认定已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完成股改的企业给予最高50万元奖励，支持企业挂牌区域股权市场和新三板</w:t>
      </w:r>
      <w:bookmarkEnd w:id="0"/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对首次成功获得社会化资本投资的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区域股权市场挂牌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按融资额的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1%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给予最高50万元奖励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。推动优质企业在境内外资本市场上市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，支持国有资本依规参与企业境外上市基石投资。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5.支持上市公司提质增效。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引导上市公司用好资本市场募集资金，对</w:t>
      </w:r>
      <w:r>
        <w:rPr>
          <w:rFonts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用于技术改造、设备更新等本地化募投项目建设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按实际投入募集资金的5‰，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给予</w:t>
      </w:r>
      <w:r>
        <w:rPr>
          <w:rFonts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最高100万元奖励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对通过境外资本市场募集到的外资直接增资至本市主体运营公司的，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依规</w:t>
      </w:r>
      <w:r>
        <w:rPr>
          <w:rFonts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不超过</w:t>
      </w:r>
      <w:r>
        <w:rPr>
          <w:rFonts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实际到位外资的1%进行奖励。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上市公司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开展并购重组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对达到</w:t>
      </w:r>
      <w:r>
        <w:rPr>
          <w:rFonts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重大资产并购重组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标准</w:t>
      </w:r>
      <w:r>
        <w:rPr>
          <w:rFonts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给予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最高</w:t>
      </w:r>
      <w:r>
        <w:rPr>
          <w:rFonts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100万元支持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上市公司</w:t>
      </w:r>
      <w:r>
        <w:rPr>
          <w:rFonts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并购贷款给予1%贴息支持，最高300万元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。引导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上市公司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加强定期报告、临时报告、ESG报告等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信息披露质量管理，提高证券交易所信息披露评级</w:t>
      </w:r>
      <w:r>
        <w:rPr>
          <w:rFonts w:hint="eastAsia" w:ascii="Times New Roman" w:hAnsi="Times New Roman" w:eastAsia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6.用好债券市场融资。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支持非金融企业开展绿色外债业务，推动符合条件的科技型企业、股权投资机构和金融机构发行科创债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探索为民营科技型企业发行科创债提供贴息、增信、担保等支持措施，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引导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科技型中小企业运用“集群发债”模式。支持优质资产项目通过开展基础设施领域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不动产投资信托基金（REITs）、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资产支持票据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ABN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等资产证券化业务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实现高效融资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7.鼓励知识产权质押和证券化融资。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市区两级对企业知识产权质押贷款依规给予最高20%的贴息支持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单户企业最高不超过20万元，对知识产权证券化融资发起单位，依规按实际融资额的2%给予最高100万元支持，上述政策不重复享受。力争未来5年，全市知识产权质押融资贷款和备案金额分别累计超400亿元和950亿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8.加强财政保障力度。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落实省制造业贷款贴息政策，对符合条件的省制造业贷款贴息项目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，依规给予最高2个百分点的贴息，单个企业年度贴息总额累计不超过2000万元。用好财政性增信资金，通过</w:t>
      </w:r>
      <w:r>
        <w:rPr>
          <w:rFonts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普惠贷、锡科贷等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各类增信贷款支持企业。深入探索“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拨投结合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2.0模式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实现财政性资金与投资基金利益共享</w:t>
      </w:r>
      <w:r>
        <w:rPr>
          <w:rFonts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、风险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共担。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9.引导国资赋能发展。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有能力的市属国有金融机构减费让利，推动市属国有控股上市公司市值优于所属行业平均水平，提高国有企业资产证券化水平。市属国有企业参与基金出资比例适当放宽至不高于30%，对其中参与种子、天使基金，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集成电路、生物医药、人工智能等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重点产业领域基金，以及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头部机构管理的基金的出资比例，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最高可至50%。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对主要投向本市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465+X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产业和解决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卡脖子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项目的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市属国有企业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基金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国有出资部分所得超额收益对其他出资人和基金管理团队可给予50%-100%的让利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，提高基金投资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风险容忍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基金清算时可给予20%-50%的容亏率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探索设立国资基金延期分类审批制度，可适当延长基金存续期，匹配科技型企业成长周期。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10.推动金融机构加快发展。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支持境内外优质金融机构在锡展业兴业，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提高规格和业务开展层次，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对成功提档升格的机构给予适当政策倾斜，力争未来5年，</w:t>
      </w:r>
      <w:r>
        <w:rPr>
          <w:rFonts w:hint="eastAsia"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累计新设立金融机构功能性总部、专业子公司、专营机构及分支机构</w:t>
      </w:r>
      <w:r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超50家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。发展壮大地方法人金融机构，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着力提升市属国有金融机构在行业中排名、服务本地化程度和综合金融贡献度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11.强化投后与信用赋能。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优化投后赋能服务，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健全政府、股权投资机构与投后企业联系机制，建立重点投后企业白名单和投后管理数据库，支持投资机构设立专职投后管理团队，对投后企业提供优先金融支持和介绍产业合作资源。深化征信赋能金融、行业链条及公共服务等场景应用，力争未来5年，全市征信服务信用贷款规模达5000亿元。优化出口信用保险服务，提升政策性出口信用保险覆盖面。鼓励政府性融资担保公司等担保机构创新信用担保模式，年化平均担保费率不超过1%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12.优化金融服务环境。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建设无锡市科技金融商学院，</w:t>
      </w:r>
      <w:r>
        <w:rPr>
          <w:rFonts w:hint="eastAsia" w:ascii="Times New Roman" w:hAnsi="Times New Roman" w:eastAsia="方正仿宋_GBK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组建科技金融专家顾问团，</w:t>
      </w:r>
      <w:r>
        <w:rPr>
          <w:rFonts w:hint="eastAsia" w:ascii="Times New Roman" w:hAnsi="Times New Roman" w:eastAsia="方正仿宋_GBK" w:cs="Times New Roman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联合共建高端型金融智库，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立半紧密型交流对接机制，每年举办科技金融专题对接活动不少于20次。引导金融机构强化科技金融专营服务，在特色产业园等科技资源集聚区域实现100%全覆盖。拓展数字人民币在民生消费、政务服务、产业园区等场景应用，确保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应用发展水平保持全省前列。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构建跨境金融绿色服务通道，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着力提升企业跨境人民币结算占比，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争取本外币一体化资金池试点政策，支持符合条件的跨国公司申请高版本资金池</w:t>
      </w:r>
      <w:r>
        <w:rPr>
          <w:rFonts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业务资格</w:t>
      </w:r>
      <w:r>
        <w:rPr>
          <w:rFonts w:hint="eastAsia" w:ascii="Times New Roman" w:hAnsi="Times New Roman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三、实施保障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坚持党对金融工作的全面领导，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挥好市委金融委员会统筹协调作用，健全市、区金融和产业管理部门常态化沟通交流机制，在金融资源引进、产业项目融资、服务科技创新等方面加强协作分工，强化政策制定、执行、监督与评估的相互衔接，严格按照项目化、清单化、节点化、责任化要求推进工作，积极开展政策宣传推广、统计分析和跟踪评估，确保政策取得实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rPr>
          <w:rFonts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本政策措施自印发之日起实施，有效期至2030年12月31日，由市委金融办、市财政局负责具体解释。在国家、省和市相关政策有重大调整时，根据实际情况调整本政策措施，同类政策按“就高不重复”原则执行。</w:t>
      </w:r>
    </w:p>
    <w:p>
      <w:pPr>
        <w:jc w:val="both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</w:p>
    <w:sectPr>
      <w:footerReference r:id="rId3" w:type="default"/>
      <w:pgSz w:w="11907" w:h="16840"/>
      <w:pgMar w:top="2098" w:right="1474" w:bottom="19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97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950" cy="13956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1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pP9x3VAAAAAgEAAA8AAAAAAAAAAQAgAAAAIgAAAGRycy9kb3du&#10;cmV2LnhtbFBLAQIUABQAAAAIAIdO4kAn95HlAgIAAPMDAAAOAAAAAAAAAAEAIAAAACQBAABkcnMv&#10;ZTJvRG9jLnhtbFBLBQYAAAAABgAGAFkBAACYBQAA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ZGU3MWJiNWM4ZDgwNDdjY2NiYTNmOTczMTdjNjg1YjUifQ=="/>
  </w:docVars>
  <w:rsids>
    <w:rsidRoot w:val="00000000"/>
    <w:rsid w:val="00806920"/>
    <w:rsid w:val="0EF54108"/>
    <w:rsid w:val="15C62888"/>
    <w:rsid w:val="2A5A31A5"/>
    <w:rsid w:val="32D60EC6"/>
    <w:rsid w:val="383A26CD"/>
    <w:rsid w:val="38CE3ED2"/>
    <w:rsid w:val="3B54446F"/>
    <w:rsid w:val="3BD16A31"/>
    <w:rsid w:val="3F6D45FB"/>
    <w:rsid w:val="410D5440"/>
    <w:rsid w:val="429D3E3D"/>
    <w:rsid w:val="42ED2147"/>
    <w:rsid w:val="44FE58E1"/>
    <w:rsid w:val="481766AC"/>
    <w:rsid w:val="51593DCB"/>
    <w:rsid w:val="61D910FB"/>
    <w:rsid w:val="64092FBD"/>
    <w:rsid w:val="6B360C25"/>
    <w:rsid w:val="740D55B7"/>
    <w:rsid w:val="76376E35"/>
    <w:rsid w:val="78E45F23"/>
    <w:rsid w:val="7BEF60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cs="宋体"/>
      <w:b/>
      <w:bCs/>
      <w:kern w:val="36"/>
      <w:sz w:val="48"/>
      <w:szCs w:val="48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EndnoteText"/>
    <w:basedOn w:val="1"/>
    <w:qFormat/>
    <w:uiPriority w:val="0"/>
  </w:style>
  <w:style w:type="paragraph" w:styleId="6">
    <w:name w:val="Body Text"/>
    <w:basedOn w:val="1"/>
    <w:qFormat/>
    <w:uiPriority w:val="0"/>
    <w:rPr>
      <w:rFonts w:eastAsia="黑体"/>
      <w:sz w:val="36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 w:cs="Times New Roman"/>
      <w:snapToGrid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qFormat/>
    <w:uiPriority w:val="0"/>
    <w:rPr>
      <w:rFonts w:ascii="宋体" w:eastAsia="宋体" w:cs="Times New Roman"/>
      <w:kern w:val="2"/>
      <w:sz w:val="24"/>
      <w:szCs w:val="21"/>
      <w:lang w:val="en-US" w:eastAsia="zh-CN" w:bidi="ar-SA"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styleId="16">
    <w:name w:val="List Paragraph"/>
    <w:basedOn w:val="1"/>
    <w:qFormat/>
    <w:uiPriority w:val="0"/>
    <w:pPr>
      <w:ind w:firstLine="200" w:firstLineChars="200"/>
    </w:pPr>
  </w:style>
  <w:style w:type="character" w:customStyle="1" w:styleId="17">
    <w:name w:val="font01"/>
    <w:basedOn w:val="1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F086C8-6FC8-464C-94D6-08223586B0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5</Pages>
  <Words>2767</Words>
  <Characters>2885</Characters>
  <Lines>0</Lines>
  <Paragraphs>21</Paragraphs>
  <TotalTime>3</TotalTime>
  <ScaleCrop>false</ScaleCrop>
  <LinksUpToDate>false</LinksUpToDate>
  <CharactersWithSpaces>2886</CharactersWithSpaces>
  <Application>WPS Office_11.8.2.12187_F1E327BC-269C-435d-A152-05C5408002CA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2024-07-04T01:09:00Z</dcterms:created>
  <dc:creator>王威</dc:creator>
  <cp:lastModifiedBy>Owner</cp:lastModifiedBy>
  <cp:lastPrinted>2025-10-31T08:01:00Z</cp:lastPrinted>
  <dcterms:modified xsi:type="dcterms:W3CDTF">2025-11-06T01:13:43Z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BC361DEA5EF24F7C946322D2CB760171_13</vt:lpwstr>
  </property>
</Properties>
</file>